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6376" w14:textId="77777777" w:rsidR="00A40724" w:rsidRPr="0095522C" w:rsidRDefault="00A40724" w:rsidP="00A23294">
      <w:pPr>
        <w:spacing w:after="0"/>
        <w:ind w:right="4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5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D)</w:t>
      </w:r>
      <w:r w:rsidRPr="00955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362FDE67" w14:textId="01777AA7" w:rsidR="00A40724" w:rsidRPr="0095522C" w:rsidRDefault="00A40724" w:rsidP="00A23294">
      <w:pPr>
        <w:spacing w:after="0" w:line="240" w:lineRule="auto"/>
        <w:ind w:right="408"/>
        <w:jc w:val="right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95522C">
        <w:rPr>
          <w:rFonts w:ascii="Times New Roman" w:eastAsia="Times New Roman" w:hAnsi="Times New Roman" w:cs="Times New Roman"/>
          <w:b/>
          <w:sz w:val="24"/>
          <w:szCs w:val="24"/>
        </w:rPr>
        <w:t>ALL'ATS XIX</w:t>
      </w:r>
      <w:r w:rsidR="0095522C" w:rsidRPr="0095522C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95522C">
        <w:rPr>
          <w:rFonts w:ascii="Times New Roman" w:eastAsia="Times New Roman" w:hAnsi="Times New Roman" w:cs="Times New Roman"/>
          <w:b/>
          <w:w w:val="99"/>
          <w:sz w:val="24"/>
          <w:szCs w:val="24"/>
        </w:rPr>
        <w:t xml:space="preserve"> </w:t>
      </w:r>
      <w:r w:rsidRPr="0095522C">
        <w:rPr>
          <w:rFonts w:ascii="Times New Roman" w:eastAsia="Times New Roman" w:hAnsi="Times New Roman" w:cs="Times New Roman"/>
          <w:b/>
          <w:sz w:val="24"/>
          <w:szCs w:val="24"/>
        </w:rPr>
        <w:t>COMUNE DI</w:t>
      </w:r>
      <w:r w:rsidRPr="0095522C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5522C">
        <w:rPr>
          <w:rFonts w:ascii="Times New Roman" w:eastAsia="Times New Roman" w:hAnsi="Times New Roman" w:cs="Times New Roman"/>
          <w:b/>
          <w:sz w:val="24"/>
          <w:szCs w:val="24"/>
        </w:rPr>
        <w:t>FERMO</w:t>
      </w:r>
    </w:p>
    <w:p w14:paraId="6573D987" w14:textId="77777777" w:rsidR="00A40724" w:rsidRPr="0095522C" w:rsidRDefault="00A40724" w:rsidP="00A23294">
      <w:pPr>
        <w:spacing w:after="0" w:line="240" w:lineRule="auto"/>
        <w:ind w:right="4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6651753"/>
      <w:r w:rsidRPr="0095522C">
        <w:rPr>
          <w:rFonts w:ascii="Times New Roman" w:eastAsia="Times New Roman" w:hAnsi="Times New Roman" w:cs="Times New Roman"/>
          <w:b/>
          <w:sz w:val="24"/>
          <w:szCs w:val="24"/>
        </w:rPr>
        <w:t xml:space="preserve">VIA GIUSEPPE MAZZINI, 4, </w:t>
      </w:r>
    </w:p>
    <w:p w14:paraId="286CEE28" w14:textId="77777777" w:rsidR="00A40724" w:rsidRDefault="00A40724" w:rsidP="00A23294">
      <w:pPr>
        <w:spacing w:after="0" w:line="240" w:lineRule="auto"/>
        <w:ind w:right="408"/>
        <w:jc w:val="right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9552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63900 FERMO FM</w:t>
      </w:r>
      <w:bookmarkEnd w:id="0"/>
    </w:p>
    <w:p w14:paraId="1E764B9D" w14:textId="77777777" w:rsidR="00A23294" w:rsidRPr="0095522C" w:rsidRDefault="00A23294" w:rsidP="00A23294">
      <w:pPr>
        <w:spacing w:after="0" w:line="240" w:lineRule="auto"/>
        <w:ind w:right="408"/>
        <w:jc w:val="right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</w:p>
    <w:p w14:paraId="5887E6B8" w14:textId="0D6051F2" w:rsidR="00C23268" w:rsidRDefault="00C23268" w:rsidP="00C23268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36A0">
        <w:rPr>
          <w:rFonts w:ascii="Times New Roman" w:eastAsia="Times New Roman" w:hAnsi="Times New Roman"/>
          <w:b/>
          <w:bCs/>
          <w:sz w:val="24"/>
          <w:szCs w:val="24"/>
        </w:rPr>
        <w:t xml:space="preserve">AVVISO DI ISTRUTTORIA PUBBLICA 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MARGINALITÀ SOCIALE” – INVESTIMENTO 1.2 PERCORSI DI AUTONOMIA PER PERSONE CON DISABILITÀ - AVVISO PUBBLICO 1/2022 - FINANZIATO DALL’UNIONE EUROPEA – NEXT GENERATION EU, CUP F54H22000160001, </w:t>
      </w:r>
      <w:r w:rsidRPr="00F60244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r w:rsidR="00F6024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60244" w:rsidRPr="00F60244">
        <w:rPr>
          <w:rFonts w:ascii="Times New Roman" w:eastAsia="Times New Roman" w:hAnsi="Times New Roman"/>
          <w:b/>
          <w:bCs/>
          <w:sz w:val="24"/>
          <w:szCs w:val="24"/>
        </w:rPr>
        <w:t>B891C1D945</w:t>
      </w:r>
      <w:r w:rsidRPr="00F6024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550B2E50" w14:textId="77777777" w:rsidR="006803CC" w:rsidRPr="0095522C" w:rsidRDefault="006803CC" w:rsidP="006803CC">
      <w:pPr>
        <w:spacing w:before="91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</w:rPr>
      </w:pPr>
    </w:p>
    <w:p w14:paraId="28FC990B" w14:textId="77777777" w:rsidR="006803CC" w:rsidRPr="0095522C" w:rsidRDefault="006803CC" w:rsidP="00680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</w:rPr>
      </w:pPr>
      <w:r w:rsidRPr="0095522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</w:rPr>
        <w:t>SCHEMA DI DICHIARAZIONE SOSTITUTIVA</w:t>
      </w:r>
    </w:p>
    <w:p w14:paraId="7D87F6A3" w14:textId="77777777" w:rsidR="006803CC" w:rsidRPr="0095522C" w:rsidRDefault="006803CC" w:rsidP="006803CC">
      <w:pPr>
        <w:pStyle w:val="Corpotesto"/>
        <w:spacing w:after="0" w:line="240" w:lineRule="auto"/>
        <w:ind w:right="-1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5522C">
        <w:rPr>
          <w:rFonts w:ascii="Times New Roman" w:hAnsi="Times New Roman" w:cs="Times New Roman"/>
          <w:i/>
          <w:iCs/>
          <w:sz w:val="24"/>
          <w:szCs w:val="24"/>
        </w:rPr>
        <w:t>sottoscritta</w:t>
      </w:r>
      <w:r w:rsidRPr="0095522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dal</w:t>
      </w:r>
      <w:r w:rsidRPr="0095522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legale</w:t>
      </w:r>
      <w:r w:rsidRPr="0095522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rappresentante</w:t>
      </w:r>
      <w:r w:rsidRPr="0095522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del</w:t>
      </w:r>
      <w:r w:rsidRPr="0095522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proponente. In</w:t>
      </w:r>
      <w:r w:rsidRPr="0095522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caso di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più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soggetti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forma</w:t>
      </w:r>
      <w:r w:rsidRPr="0095522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associata</w:t>
      </w:r>
      <w:r w:rsidRPr="0095522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(costituita</w:t>
      </w:r>
      <w:r w:rsidRPr="0095522C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Pr="0095522C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costituirsi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ATI</w:t>
      </w:r>
      <w:r w:rsidRPr="0095522C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5522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RTI/ATS)</w:t>
      </w:r>
      <w:r w:rsidRPr="0095522C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95522C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dichiarazione</w:t>
      </w:r>
      <w:r w:rsidRPr="0095522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deve essere presentata da ciascun partner</w:t>
      </w:r>
    </w:p>
    <w:p w14:paraId="504A38B9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5522C">
        <w:rPr>
          <w:rFonts w:ascii="Times New Roman" w:hAnsi="Times New Roman" w:cs="Times New Roman"/>
          <w:b/>
          <w:bCs/>
          <w:sz w:val="24"/>
          <w:szCs w:val="24"/>
        </w:rPr>
        <w:t xml:space="preserve">La sottoscritta /Il sottoscritto: </w:t>
      </w:r>
    </w:p>
    <w:p w14:paraId="4A6EE20E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(cognome) ______________________________ (nome) _______________________________ nata/o a __________________________________________ il __________________________ residente a _________________________ in via ____________________________ n. _____ C.A.P. _____ tel. ________________________email___________________________________ </w:t>
      </w:r>
    </w:p>
    <w:p w14:paraId="1AE30C8E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b/>
          <w:bCs/>
          <w:sz w:val="24"/>
          <w:szCs w:val="24"/>
        </w:rPr>
        <w:t>in qualità di Legale Rappresentante della:</w:t>
      </w:r>
      <w:r w:rsidRPr="00955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5526B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>Organizzazione _________________________________________________________________ con sede legale in __________________________Via______________________ Cap_______ C.F. ________________________________ P.IVA _____________________________________ Tel. _____________________________________ PEC ______________ avvalendosi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31179A81" w14:textId="77777777" w:rsidR="00A40724" w:rsidRPr="0095522C" w:rsidRDefault="00A40724" w:rsidP="00A4072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718F1336" w14:textId="77777777" w:rsidR="00A40724" w:rsidRPr="0095522C" w:rsidRDefault="00A40724" w:rsidP="00A4072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445/2000 artt. 46 e 47, che i fatti, stati e qualità riportati nei successivi paragrafi corrispondono a verità:</w:t>
      </w:r>
    </w:p>
    <w:p w14:paraId="18E10258" w14:textId="3DDAD369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insussistenza di una delle cause di esclusione previste dagli </w:t>
      </w:r>
      <w:r w:rsidR="0095522C"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94, 95, 96, 97 e 98 </w:t>
      </w: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del D. Lgs n.36/2023;</w:t>
      </w:r>
    </w:p>
    <w:p w14:paraId="0B23AA09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insussistenza delle cause di divieto, decadenza o di sospensione di cui all’art. 67 del D. Lgs. 6         settembre 2011, n. 159 e </w:t>
      </w:r>
      <w:proofErr w:type="spellStart"/>
      <w:proofErr w:type="gram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proofErr w:type="gram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;</w:t>
      </w:r>
    </w:p>
    <w:p w14:paraId="723EDA5B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insussistenza delle condizioni di cui all’art. 53, comma 16-ter, del D. Lgs. del 2001, n. 165 o di cui all’art. 35 del decreto-legge 24 giugno 2014, n. 90 e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. convertito con modificazioni dalla Legge 11 agosto 2014, n. 114 e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.  o che siano incorsi, ai sensi della normativa vigente, in ulteriori divieti a contrattare con la Pubblica Amministrazione;</w:t>
      </w:r>
    </w:p>
    <w:p w14:paraId="704BD303" w14:textId="77777777" w:rsidR="00A40724" w:rsidRPr="0095522C" w:rsidRDefault="00A40724" w:rsidP="00A4072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non versare in alcuna delle ipotesi di conflitto di interessi, previste dall’art. 16 del D. Lgs n.36/2023;</w:t>
      </w:r>
    </w:p>
    <w:p w14:paraId="27EB00F8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non avere in corso contenziosi con il Comune di Fermo e con i Comuni dell’Ambito Territoriale Sociale XIX e non risultare in situazione di morosità nei confronti degli stessi;</w:t>
      </w:r>
    </w:p>
    <w:p w14:paraId="7D90ECB4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non trovarsi in alcuna delle condizioni che fanno divieto di contrattare con la Pubblica Amministrazione;</w:t>
      </w:r>
    </w:p>
    <w:p w14:paraId="3BD5A196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aver restituito eventuali agevolazioni pubbliche godute per le quali è stata disposta la restituzione;</w:t>
      </w:r>
    </w:p>
    <w:p w14:paraId="0DA4DC6D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essere in regola con la disciplina antiriciclaggio di cui al D. Lgs. 21 novembre 2007, n. 231 e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.;</w:t>
      </w:r>
    </w:p>
    <w:p w14:paraId="08A8E86A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 w:bidi="hi-IN"/>
        </w:rPr>
      </w:pPr>
      <w:r w:rsidRPr="0095522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 w:bidi="hi-IN"/>
        </w:rPr>
        <w:t>essere in regola in materia di imposte e tasse;</w:t>
      </w:r>
    </w:p>
    <w:p w14:paraId="52E8E16E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essere in regola con gli obblighi contributivi risultanti dal DURC;</w:t>
      </w:r>
    </w:p>
    <w:p w14:paraId="4B1D1845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non essere destinatari, nei tre anni precedenti la </w:t>
      </w:r>
      <w:r w:rsidRPr="0095522C"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  <w:t>data di comunicazione di ammissione alle agevolazioni, di provvedimenti di revoca totale di agevolazioni pubbliche, ed eccezione di quelli derivanti da rinunce da parte delle imprese;</w:t>
      </w:r>
    </w:p>
    <w:p w14:paraId="3638EAB4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essere nel pieno e libero esercizio dei propri diritti, non essere in liquidazione volontaria e non essere sottoposti a procedure concorsuali;</w:t>
      </w:r>
    </w:p>
    <w:p w14:paraId="4090DAD9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essere in regola con le vigenti misure </w:t>
      </w:r>
      <w:r w:rsidRPr="0095522C"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  <w:t xml:space="preserve">in materia di sicurezza e tutela della salute nei luoghi di lavoro, </w:t>
      </w: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delle pari opportunità e delle disposizioni in materia di contrattazione collettiva nazionale e territoriale del lavoro con particolare riferimento agli obblighi contributivi e a quanto disposto dalle normative regionali in materia di tutela del lavoro, al contrasto e all’emersione del lavoro non regolare;</w:t>
      </w:r>
    </w:p>
    <w:p w14:paraId="1028A069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rispettare gli obblighi igienico-sanitari, assicurativi, di sicurezza previsti dalla normativa vigente;</w:t>
      </w:r>
    </w:p>
    <w:p w14:paraId="019E8D00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aver preso visione e conseguentemente di accettare, senza condizione e riserva, tutte le norme e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disposizioni</w:t>
      </w:r>
      <w:r w:rsidRPr="0095522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contenute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nell’Avviso</w:t>
      </w:r>
      <w:r w:rsidRPr="0095522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di</w:t>
      </w:r>
      <w:r w:rsidRPr="0095522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Istruttoria</w:t>
      </w:r>
      <w:r w:rsidRPr="0095522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Pubblica</w:t>
      </w:r>
      <w:r w:rsidRPr="0095522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nonché</w:t>
      </w:r>
      <w:r w:rsidRPr="0095522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nella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normativa</w:t>
      </w:r>
      <w:r w:rsidRPr="0095522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nazionale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ed europea che disciplina il progetto in parola;</w:t>
      </w:r>
    </w:p>
    <w:p w14:paraId="3A93FCF6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lastRenderedPageBreak/>
        <w:t>di essere in grado in ogni momento di certificare tutti gli elementi innanzi dichiarati, impegnandosi, altresì, in caso di selezione a presentare in tempi brevi la documentazione non acquisibile direttamente da parte di questa</w:t>
      </w:r>
      <w:r w:rsidRPr="009552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Amministrazione;</w:t>
      </w:r>
    </w:p>
    <w:p w14:paraId="5A5C398A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essere consapevole che i dati acquisiti sono previsti dalle disposizioni vigenti ai fini del procedimento amministrativo per il quale sono richiesti e verranno trattati solo per tale</w:t>
      </w:r>
      <w:r w:rsidRPr="0095522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scopo;</w:t>
      </w:r>
    </w:p>
    <w:p w14:paraId="1F185613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che l’atto costitutivo e/o lo Statuto del proprio ente prevedono lo svolgimento di attività e servizi a favore di terzi analoghi a quelli oggetto del presente Avviso di</w:t>
      </w:r>
      <w:r w:rsidRPr="009552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co-progettazione;</w:t>
      </w:r>
    </w:p>
    <w:p w14:paraId="03AAE2CF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aver maturato una comprovata esperienza triennale nell’area di intervento proposta; </w:t>
      </w:r>
    </w:p>
    <w:p w14:paraId="4DCBD2C0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avere una sede operativa nel territorio dell’ATS XIX per lo svolgimento delle attività previste, ovvero di impegnarsi, in caso di selezione, a dotarsi della suddetta sede entro 30 giorni dall’avvio del progetto.</w:t>
      </w:r>
    </w:p>
    <w:p w14:paraId="1F60E864" w14:textId="77777777" w:rsidR="00A40724" w:rsidRPr="0095522C" w:rsidRDefault="00A40724" w:rsidP="00A40724">
      <w:pPr>
        <w:tabs>
          <w:tab w:val="left" w:pos="477"/>
        </w:tabs>
        <w:spacing w:before="100" w:beforeAutospacing="1" w:after="100" w:afterAutospacing="1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Autorizza al trattamento dei dati personali forniti ai sensi del D. Lgs. n. 196/2003 e </w:t>
      </w:r>
      <w:proofErr w:type="spellStart"/>
      <w:r w:rsidRPr="0095522C">
        <w:rPr>
          <w:rFonts w:ascii="Times New Roman" w:hAnsi="Times New Roman" w:cs="Times New Roman"/>
          <w:sz w:val="24"/>
          <w:szCs w:val="24"/>
        </w:rPr>
        <w:t>s.m.i.i</w:t>
      </w:r>
      <w:proofErr w:type="spellEnd"/>
      <w:r w:rsidRPr="0095522C">
        <w:rPr>
          <w:rFonts w:ascii="Times New Roman" w:hAnsi="Times New Roman" w:cs="Times New Roman"/>
          <w:sz w:val="24"/>
          <w:szCs w:val="24"/>
        </w:rPr>
        <w:t>. e del GDPR (Regolamento UE 2016/679).</w:t>
      </w:r>
    </w:p>
    <w:p w14:paraId="63C01998" w14:textId="77777777" w:rsidR="00A40724" w:rsidRPr="0095522C" w:rsidRDefault="00A40724" w:rsidP="00A40724">
      <w:pPr>
        <w:tabs>
          <w:tab w:val="left" w:pos="477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Data _______________</w:t>
      </w:r>
    </w:p>
    <w:p w14:paraId="5BA2D12E" w14:textId="77777777" w:rsidR="00A40724" w:rsidRPr="0095522C" w:rsidRDefault="00A40724" w:rsidP="00A40724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Timbro e </w:t>
      </w:r>
      <w:proofErr w:type="spellStart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firma</w:t>
      </w:r>
      <w:proofErr w:type="spellEnd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del </w:t>
      </w:r>
      <w:proofErr w:type="spellStart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Legale</w:t>
      </w:r>
      <w:proofErr w:type="spellEnd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Rappresentante</w:t>
      </w:r>
      <w:proofErr w:type="spellEnd"/>
    </w:p>
    <w:p w14:paraId="103FC04F" w14:textId="77777777" w:rsidR="00A40724" w:rsidRPr="0095522C" w:rsidRDefault="00A40724" w:rsidP="00A40724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14:paraId="78C14E11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(In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firma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autografa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allegare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fotocopia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documento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identità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sottoscrittore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ai sensi del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combinato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disposto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>. 38 e 46 del DPR n. 445/2000)</w:t>
      </w:r>
    </w:p>
    <w:p w14:paraId="2ADCEB4C" w14:textId="77777777" w:rsidR="00A40724" w:rsidRPr="0095522C" w:rsidRDefault="00A40724" w:rsidP="00A40724">
      <w:pPr>
        <w:widowControl w:val="0"/>
        <w:autoSpaceDN w:val="0"/>
        <w:spacing w:before="100" w:beforeAutospacing="1" w:after="100" w:afterAutospacing="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A4D565" w14:textId="154B4AD6" w:rsidR="00795A87" w:rsidRPr="0095522C" w:rsidRDefault="0004619B" w:rsidP="00A40724">
      <w:pPr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5A87" w:rsidRPr="0095522C">
      <w:headerReference w:type="default" r:id="rId8"/>
      <w:footerReference w:type="default" r:id="rId9"/>
      <w:pgSz w:w="11906" w:h="16838"/>
      <w:pgMar w:top="1985" w:right="1134" w:bottom="1418" w:left="1134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A2BB" w14:textId="77777777" w:rsidR="003B613F" w:rsidRDefault="003B613F">
      <w:pPr>
        <w:spacing w:after="0" w:line="240" w:lineRule="auto"/>
      </w:pPr>
      <w:r>
        <w:separator/>
      </w:r>
    </w:p>
  </w:endnote>
  <w:endnote w:type="continuationSeparator" w:id="0">
    <w:p w14:paraId="67306A10" w14:textId="77777777" w:rsidR="003B613F" w:rsidRDefault="003B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45D65D21" w:rsidR="00383A03" w:rsidRDefault="00383A03">
        <w:pPr>
          <w:pStyle w:val="Pidipagina"/>
          <w:jc w:val="center"/>
          <w:rPr>
            <w:noProof/>
          </w:rPr>
        </w:pPr>
      </w:p>
      <w:p w14:paraId="7FDF520A" w14:textId="3C77D711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7F03FFD6" w14:textId="6576DB1F" w:rsidR="00666E8B" w:rsidRDefault="00666E8B" w:rsidP="00666E8B">
    <w:pPr>
      <w:pStyle w:val="Intestazione"/>
    </w:pPr>
    <w:r>
      <w:t xml:space="preserve">                                                              </w:t>
    </w:r>
    <w:r w:rsidR="00383A03">
      <w:t xml:space="preserve">        </w:t>
    </w:r>
  </w:p>
  <w:p w14:paraId="355B499C" w14:textId="577AA07D" w:rsidR="0065412B" w:rsidRDefault="0065412B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BDD6" w14:textId="77777777" w:rsidR="003B613F" w:rsidRDefault="003B613F">
      <w:pPr>
        <w:spacing w:after="0" w:line="240" w:lineRule="auto"/>
      </w:pPr>
      <w:r>
        <w:separator/>
      </w:r>
    </w:p>
  </w:footnote>
  <w:footnote w:type="continuationSeparator" w:id="0">
    <w:p w14:paraId="43A75795" w14:textId="77777777" w:rsidR="003B613F" w:rsidRDefault="003B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77777777" w:rsidR="00383A03" w:rsidRDefault="00383A03">
    <w:pPr>
      <w:pStyle w:val="Intestazione"/>
    </w:pPr>
  </w:p>
  <w:p w14:paraId="7FC0CBF9" w14:textId="77777777" w:rsidR="00383A03" w:rsidRDefault="00383A03">
    <w:pPr>
      <w:pStyle w:val="Intestazione"/>
    </w:pPr>
  </w:p>
  <w:p w14:paraId="4A64EA30" w14:textId="101DF3DB" w:rsidR="00B4129C" w:rsidRDefault="00C23268">
    <w:pPr>
      <w:pStyle w:val="Intestazione"/>
    </w:pPr>
    <w:r>
      <w:rPr>
        <w:noProof/>
      </w:rPr>
      <w:drawing>
        <wp:anchor distT="0" distB="0" distL="114300" distR="114300" simplePos="0" relativeHeight="251702272" behindDoc="0" locked="0" layoutInCell="1" allowOverlap="1" wp14:anchorId="00B1876D" wp14:editId="017D0304">
          <wp:simplePos x="0" y="0"/>
          <wp:positionH relativeFrom="margin">
            <wp:posOffset>3736340</wp:posOffset>
          </wp:positionH>
          <wp:positionV relativeFrom="paragraph">
            <wp:posOffset>222250</wp:posOffset>
          </wp:positionV>
          <wp:extent cx="580390" cy="661035"/>
          <wp:effectExtent l="0" t="0" r="0" b="5715"/>
          <wp:wrapThrough wrapText="bothSides">
            <wp:wrapPolygon edited="0">
              <wp:start x="0" y="0"/>
              <wp:lineTo x="0" y="21164"/>
              <wp:lineTo x="20560" y="21164"/>
              <wp:lineTo x="20560" y="0"/>
              <wp:lineTo x="0" y="0"/>
            </wp:wrapPolygon>
          </wp:wrapThrough>
          <wp:docPr id="1258037989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3296" behindDoc="0" locked="0" layoutInCell="1" allowOverlap="1" wp14:anchorId="18DD7021" wp14:editId="1958F1C1">
          <wp:simplePos x="0" y="0"/>
          <wp:positionH relativeFrom="margin">
            <wp:posOffset>5014595</wp:posOffset>
          </wp:positionH>
          <wp:positionV relativeFrom="paragraph">
            <wp:posOffset>321945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1328067600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700224" behindDoc="1" locked="0" layoutInCell="1" allowOverlap="1" wp14:anchorId="26CD0358" wp14:editId="22061AD1">
          <wp:simplePos x="0" y="0"/>
          <wp:positionH relativeFrom="page">
            <wp:posOffset>720090</wp:posOffset>
          </wp:positionH>
          <wp:positionV relativeFrom="page">
            <wp:posOffset>715010</wp:posOffset>
          </wp:positionV>
          <wp:extent cx="1797050" cy="475615"/>
          <wp:effectExtent l="0" t="0" r="0" b="635"/>
          <wp:wrapThrough wrapText="bothSides">
            <wp:wrapPolygon edited="0">
              <wp:start x="0" y="0"/>
              <wp:lineTo x="0" y="20764"/>
              <wp:lineTo x="21295" y="20764"/>
              <wp:lineTo x="21295" y="0"/>
              <wp:lineTo x="0" y="0"/>
            </wp:wrapPolygon>
          </wp:wrapThrough>
          <wp:docPr id="9075075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1248" behindDoc="1" locked="0" layoutInCell="1" allowOverlap="1" wp14:anchorId="5F3F8137" wp14:editId="54E8C5B8">
          <wp:simplePos x="0" y="0"/>
          <wp:positionH relativeFrom="column">
            <wp:posOffset>2229485</wp:posOffset>
          </wp:positionH>
          <wp:positionV relativeFrom="paragraph">
            <wp:posOffset>170815</wp:posOffset>
          </wp:positionV>
          <wp:extent cx="751205" cy="751205"/>
          <wp:effectExtent l="0" t="0" r="0" b="0"/>
          <wp:wrapThrough wrapText="bothSides">
            <wp:wrapPolygon edited="0">
              <wp:start x="0" y="0"/>
              <wp:lineTo x="0" y="20815"/>
              <wp:lineTo x="20815" y="20815"/>
              <wp:lineTo x="20815" y="0"/>
              <wp:lineTo x="0" y="0"/>
            </wp:wrapPolygon>
          </wp:wrapThrough>
          <wp:docPr id="556935187" name="Immagine 3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5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1D"/>
    <w:multiLevelType w:val="multilevel"/>
    <w:tmpl w:val="AAF4FB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0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6"/>
  </w:num>
  <w:num w:numId="3" w16cid:durableId="1746340357">
    <w:abstractNumId w:val="10"/>
  </w:num>
  <w:num w:numId="4" w16cid:durableId="1929535409">
    <w:abstractNumId w:val="13"/>
  </w:num>
  <w:num w:numId="5" w16cid:durableId="435827968">
    <w:abstractNumId w:val="17"/>
  </w:num>
  <w:num w:numId="6" w16cid:durableId="176383837">
    <w:abstractNumId w:val="9"/>
  </w:num>
  <w:num w:numId="7" w16cid:durableId="1041171002">
    <w:abstractNumId w:val="21"/>
  </w:num>
  <w:num w:numId="8" w16cid:durableId="1217013991">
    <w:abstractNumId w:val="22"/>
  </w:num>
  <w:num w:numId="9" w16cid:durableId="654576756">
    <w:abstractNumId w:val="16"/>
  </w:num>
  <w:num w:numId="10" w16cid:durableId="1234781396">
    <w:abstractNumId w:val="7"/>
  </w:num>
  <w:num w:numId="11" w16cid:durableId="153107467">
    <w:abstractNumId w:val="8"/>
  </w:num>
  <w:num w:numId="12" w16cid:durableId="1445072928">
    <w:abstractNumId w:val="19"/>
  </w:num>
  <w:num w:numId="13" w16cid:durableId="30308555">
    <w:abstractNumId w:val="15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4"/>
  </w:num>
  <w:num w:numId="18" w16cid:durableId="340159552">
    <w:abstractNumId w:val="5"/>
  </w:num>
  <w:num w:numId="19" w16cid:durableId="1253127055">
    <w:abstractNumId w:val="18"/>
  </w:num>
  <w:num w:numId="20" w16cid:durableId="513884780">
    <w:abstractNumId w:val="20"/>
  </w:num>
  <w:num w:numId="21" w16cid:durableId="2061396365">
    <w:abstractNumId w:val="11"/>
  </w:num>
  <w:num w:numId="22" w16cid:durableId="207571258">
    <w:abstractNumId w:val="12"/>
  </w:num>
  <w:num w:numId="23" w16cid:durableId="1148940780">
    <w:abstractNumId w:val="3"/>
  </w:num>
  <w:num w:numId="24" w16cid:durableId="520629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36914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17B3"/>
    <w:rsid w:val="00003111"/>
    <w:rsid w:val="0001380D"/>
    <w:rsid w:val="000365C0"/>
    <w:rsid w:val="00042CFE"/>
    <w:rsid w:val="0004619B"/>
    <w:rsid w:val="000477D9"/>
    <w:rsid w:val="000538EA"/>
    <w:rsid w:val="00060FF0"/>
    <w:rsid w:val="0008359B"/>
    <w:rsid w:val="00084FE1"/>
    <w:rsid w:val="000867DB"/>
    <w:rsid w:val="00086F28"/>
    <w:rsid w:val="00093410"/>
    <w:rsid w:val="000A75EE"/>
    <w:rsid w:val="000C399B"/>
    <w:rsid w:val="000C4B1B"/>
    <w:rsid w:val="000E4112"/>
    <w:rsid w:val="000E46BA"/>
    <w:rsid w:val="000F2D1E"/>
    <w:rsid w:val="0011709F"/>
    <w:rsid w:val="0013417F"/>
    <w:rsid w:val="00146453"/>
    <w:rsid w:val="00166774"/>
    <w:rsid w:val="001706AF"/>
    <w:rsid w:val="00171A34"/>
    <w:rsid w:val="00177F4E"/>
    <w:rsid w:val="00194ECE"/>
    <w:rsid w:val="00195426"/>
    <w:rsid w:val="001B0E00"/>
    <w:rsid w:val="001B6D79"/>
    <w:rsid w:val="001C26CD"/>
    <w:rsid w:val="001C5627"/>
    <w:rsid w:val="001D2153"/>
    <w:rsid w:val="001D58A6"/>
    <w:rsid w:val="001F72B2"/>
    <w:rsid w:val="002131A6"/>
    <w:rsid w:val="00215B09"/>
    <w:rsid w:val="002269CC"/>
    <w:rsid w:val="002332D0"/>
    <w:rsid w:val="00240308"/>
    <w:rsid w:val="00242710"/>
    <w:rsid w:val="002560DC"/>
    <w:rsid w:val="00264352"/>
    <w:rsid w:val="0027178D"/>
    <w:rsid w:val="0027489E"/>
    <w:rsid w:val="002759F1"/>
    <w:rsid w:val="00275FDB"/>
    <w:rsid w:val="0028463C"/>
    <w:rsid w:val="002A242A"/>
    <w:rsid w:val="002B20DA"/>
    <w:rsid w:val="002C0B60"/>
    <w:rsid w:val="002C426E"/>
    <w:rsid w:val="002C5003"/>
    <w:rsid w:val="002D79DF"/>
    <w:rsid w:val="002E6FA3"/>
    <w:rsid w:val="002E7BC7"/>
    <w:rsid w:val="0031734C"/>
    <w:rsid w:val="00317FCA"/>
    <w:rsid w:val="00325EAE"/>
    <w:rsid w:val="00326CEF"/>
    <w:rsid w:val="00340241"/>
    <w:rsid w:val="00340E32"/>
    <w:rsid w:val="00341F8A"/>
    <w:rsid w:val="00383A03"/>
    <w:rsid w:val="00396EEB"/>
    <w:rsid w:val="003A0D89"/>
    <w:rsid w:val="003A3255"/>
    <w:rsid w:val="003A3B11"/>
    <w:rsid w:val="003B376A"/>
    <w:rsid w:val="003B4A08"/>
    <w:rsid w:val="003B613F"/>
    <w:rsid w:val="003B6F21"/>
    <w:rsid w:val="003C1BBC"/>
    <w:rsid w:val="003D3A65"/>
    <w:rsid w:val="003D4DF6"/>
    <w:rsid w:val="003F4D2F"/>
    <w:rsid w:val="003F51FB"/>
    <w:rsid w:val="00416C41"/>
    <w:rsid w:val="0042106D"/>
    <w:rsid w:val="00423364"/>
    <w:rsid w:val="00425305"/>
    <w:rsid w:val="00430343"/>
    <w:rsid w:val="00433C99"/>
    <w:rsid w:val="004355FC"/>
    <w:rsid w:val="004376CA"/>
    <w:rsid w:val="004407D9"/>
    <w:rsid w:val="00441B9F"/>
    <w:rsid w:val="004425A4"/>
    <w:rsid w:val="004558A7"/>
    <w:rsid w:val="00473A90"/>
    <w:rsid w:val="004770F3"/>
    <w:rsid w:val="004905BD"/>
    <w:rsid w:val="004963CB"/>
    <w:rsid w:val="004A01E9"/>
    <w:rsid w:val="004A41D6"/>
    <w:rsid w:val="004A581B"/>
    <w:rsid w:val="004B44D6"/>
    <w:rsid w:val="004B5E6D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7B94"/>
    <w:rsid w:val="005405E6"/>
    <w:rsid w:val="00561D1F"/>
    <w:rsid w:val="00563603"/>
    <w:rsid w:val="00573055"/>
    <w:rsid w:val="0057425B"/>
    <w:rsid w:val="00586276"/>
    <w:rsid w:val="00586B64"/>
    <w:rsid w:val="005A6A9A"/>
    <w:rsid w:val="005B0C23"/>
    <w:rsid w:val="005B5106"/>
    <w:rsid w:val="005B6DD8"/>
    <w:rsid w:val="005B7DD5"/>
    <w:rsid w:val="005D1009"/>
    <w:rsid w:val="005D269A"/>
    <w:rsid w:val="005D503B"/>
    <w:rsid w:val="005F0267"/>
    <w:rsid w:val="00603DB3"/>
    <w:rsid w:val="0061456A"/>
    <w:rsid w:val="00625FE8"/>
    <w:rsid w:val="00635FAE"/>
    <w:rsid w:val="00642386"/>
    <w:rsid w:val="0065412B"/>
    <w:rsid w:val="00654B25"/>
    <w:rsid w:val="00663BD9"/>
    <w:rsid w:val="00666E8B"/>
    <w:rsid w:val="00667139"/>
    <w:rsid w:val="006703DE"/>
    <w:rsid w:val="00670C64"/>
    <w:rsid w:val="006773D3"/>
    <w:rsid w:val="006803CC"/>
    <w:rsid w:val="006836D9"/>
    <w:rsid w:val="00694C81"/>
    <w:rsid w:val="006A11CF"/>
    <w:rsid w:val="006A4E1C"/>
    <w:rsid w:val="006B116F"/>
    <w:rsid w:val="006C6089"/>
    <w:rsid w:val="006D6ACB"/>
    <w:rsid w:val="006E1C25"/>
    <w:rsid w:val="006F5FD0"/>
    <w:rsid w:val="006F7F88"/>
    <w:rsid w:val="00734C37"/>
    <w:rsid w:val="00750001"/>
    <w:rsid w:val="007501EB"/>
    <w:rsid w:val="00787634"/>
    <w:rsid w:val="007903D4"/>
    <w:rsid w:val="00792831"/>
    <w:rsid w:val="00792BCD"/>
    <w:rsid w:val="00795A87"/>
    <w:rsid w:val="007A21FE"/>
    <w:rsid w:val="007B18BC"/>
    <w:rsid w:val="007D0039"/>
    <w:rsid w:val="007E1379"/>
    <w:rsid w:val="007E64CC"/>
    <w:rsid w:val="007E66B5"/>
    <w:rsid w:val="007F3D31"/>
    <w:rsid w:val="00803F8A"/>
    <w:rsid w:val="008053A4"/>
    <w:rsid w:val="00825E45"/>
    <w:rsid w:val="00835266"/>
    <w:rsid w:val="008369B6"/>
    <w:rsid w:val="00841DCA"/>
    <w:rsid w:val="008424B0"/>
    <w:rsid w:val="0084703D"/>
    <w:rsid w:val="00853978"/>
    <w:rsid w:val="00866060"/>
    <w:rsid w:val="008752A9"/>
    <w:rsid w:val="008806CD"/>
    <w:rsid w:val="00896AAD"/>
    <w:rsid w:val="008C682D"/>
    <w:rsid w:val="008D7D52"/>
    <w:rsid w:val="008F1251"/>
    <w:rsid w:val="008F154A"/>
    <w:rsid w:val="008F4CDE"/>
    <w:rsid w:val="008F686C"/>
    <w:rsid w:val="009113E6"/>
    <w:rsid w:val="00922E7B"/>
    <w:rsid w:val="00926B47"/>
    <w:rsid w:val="00930CA0"/>
    <w:rsid w:val="009346C4"/>
    <w:rsid w:val="0094178E"/>
    <w:rsid w:val="00946B13"/>
    <w:rsid w:val="00947D52"/>
    <w:rsid w:val="009505BE"/>
    <w:rsid w:val="0095522C"/>
    <w:rsid w:val="00971219"/>
    <w:rsid w:val="00972915"/>
    <w:rsid w:val="00975BA0"/>
    <w:rsid w:val="009854C7"/>
    <w:rsid w:val="00985BDB"/>
    <w:rsid w:val="00990299"/>
    <w:rsid w:val="009A001D"/>
    <w:rsid w:val="009C228F"/>
    <w:rsid w:val="009C6417"/>
    <w:rsid w:val="009E6F68"/>
    <w:rsid w:val="009F5EDA"/>
    <w:rsid w:val="00A030A5"/>
    <w:rsid w:val="00A10301"/>
    <w:rsid w:val="00A17610"/>
    <w:rsid w:val="00A17DC9"/>
    <w:rsid w:val="00A23294"/>
    <w:rsid w:val="00A36A3B"/>
    <w:rsid w:val="00A40724"/>
    <w:rsid w:val="00A41E0F"/>
    <w:rsid w:val="00A506F5"/>
    <w:rsid w:val="00A55989"/>
    <w:rsid w:val="00A62642"/>
    <w:rsid w:val="00A81644"/>
    <w:rsid w:val="00A87FA8"/>
    <w:rsid w:val="00A90508"/>
    <w:rsid w:val="00A938AA"/>
    <w:rsid w:val="00AB5686"/>
    <w:rsid w:val="00AC6975"/>
    <w:rsid w:val="00AE6539"/>
    <w:rsid w:val="00AF7A9F"/>
    <w:rsid w:val="00B007B0"/>
    <w:rsid w:val="00B11A80"/>
    <w:rsid w:val="00B274C4"/>
    <w:rsid w:val="00B34025"/>
    <w:rsid w:val="00B369C7"/>
    <w:rsid w:val="00B4129C"/>
    <w:rsid w:val="00B41E91"/>
    <w:rsid w:val="00B4276D"/>
    <w:rsid w:val="00B77B0D"/>
    <w:rsid w:val="00B92BA6"/>
    <w:rsid w:val="00BA28D0"/>
    <w:rsid w:val="00BB25CE"/>
    <w:rsid w:val="00BB3634"/>
    <w:rsid w:val="00BC2178"/>
    <w:rsid w:val="00BC4049"/>
    <w:rsid w:val="00BD72D2"/>
    <w:rsid w:val="00BE4A00"/>
    <w:rsid w:val="00C23268"/>
    <w:rsid w:val="00C33AC6"/>
    <w:rsid w:val="00C341C9"/>
    <w:rsid w:val="00C505EF"/>
    <w:rsid w:val="00C63973"/>
    <w:rsid w:val="00C72E6B"/>
    <w:rsid w:val="00C87308"/>
    <w:rsid w:val="00C94189"/>
    <w:rsid w:val="00CB2CBF"/>
    <w:rsid w:val="00CC36C0"/>
    <w:rsid w:val="00CD6A09"/>
    <w:rsid w:val="00CE0DAE"/>
    <w:rsid w:val="00CF0F59"/>
    <w:rsid w:val="00CF5FBB"/>
    <w:rsid w:val="00CF5FD6"/>
    <w:rsid w:val="00D039F8"/>
    <w:rsid w:val="00D13476"/>
    <w:rsid w:val="00D203AE"/>
    <w:rsid w:val="00D21F8A"/>
    <w:rsid w:val="00D25741"/>
    <w:rsid w:val="00D270B6"/>
    <w:rsid w:val="00D346EE"/>
    <w:rsid w:val="00D36401"/>
    <w:rsid w:val="00D47C43"/>
    <w:rsid w:val="00D569F6"/>
    <w:rsid w:val="00D60E5A"/>
    <w:rsid w:val="00D65E0E"/>
    <w:rsid w:val="00D74B4B"/>
    <w:rsid w:val="00D7599E"/>
    <w:rsid w:val="00D8099A"/>
    <w:rsid w:val="00D862FE"/>
    <w:rsid w:val="00D954EB"/>
    <w:rsid w:val="00DA70EE"/>
    <w:rsid w:val="00DB058F"/>
    <w:rsid w:val="00DB6D9D"/>
    <w:rsid w:val="00DC0164"/>
    <w:rsid w:val="00DC45D2"/>
    <w:rsid w:val="00DC4B95"/>
    <w:rsid w:val="00DD3F1D"/>
    <w:rsid w:val="00E05303"/>
    <w:rsid w:val="00E06013"/>
    <w:rsid w:val="00E20113"/>
    <w:rsid w:val="00E215FB"/>
    <w:rsid w:val="00E50AD2"/>
    <w:rsid w:val="00E625D4"/>
    <w:rsid w:val="00E66ACB"/>
    <w:rsid w:val="00E67F87"/>
    <w:rsid w:val="00E70269"/>
    <w:rsid w:val="00E720FF"/>
    <w:rsid w:val="00E7561C"/>
    <w:rsid w:val="00E77A7A"/>
    <w:rsid w:val="00E84ED6"/>
    <w:rsid w:val="00E92AAA"/>
    <w:rsid w:val="00E95B30"/>
    <w:rsid w:val="00EB3FC6"/>
    <w:rsid w:val="00EB4CE5"/>
    <w:rsid w:val="00EB5564"/>
    <w:rsid w:val="00EB6249"/>
    <w:rsid w:val="00EC0684"/>
    <w:rsid w:val="00EC1FDA"/>
    <w:rsid w:val="00EF4845"/>
    <w:rsid w:val="00EF7E25"/>
    <w:rsid w:val="00F060EF"/>
    <w:rsid w:val="00F2228D"/>
    <w:rsid w:val="00F308B4"/>
    <w:rsid w:val="00F30C32"/>
    <w:rsid w:val="00F31E2B"/>
    <w:rsid w:val="00F506ED"/>
    <w:rsid w:val="00F5170F"/>
    <w:rsid w:val="00F60244"/>
    <w:rsid w:val="00F61EE2"/>
    <w:rsid w:val="00F8118C"/>
    <w:rsid w:val="00F81ACA"/>
    <w:rsid w:val="00F82213"/>
    <w:rsid w:val="00F8404F"/>
    <w:rsid w:val="00F86C1B"/>
    <w:rsid w:val="00F91118"/>
    <w:rsid w:val="00F94756"/>
    <w:rsid w:val="00FB3590"/>
    <w:rsid w:val="00FB3EA7"/>
    <w:rsid w:val="00FB6483"/>
    <w:rsid w:val="00FC38D4"/>
    <w:rsid w:val="00FD600F"/>
    <w:rsid w:val="00FD750B"/>
    <w:rsid w:val="00FE4F6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19B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19B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Richiamoallanotaapidipagina">
    <w:name w:val="Richiamo alla nota a piè di pagina"/>
    <w:rsid w:val="0004619B"/>
    <w:rPr>
      <w:vertAlign w:val="superscript"/>
    </w:rPr>
  </w:style>
  <w:style w:type="character" w:customStyle="1" w:styleId="Caratterinotaapidipagina">
    <w:name w:val="Caratteri nota a piè di pagina"/>
    <w:qFormat/>
    <w:rsid w:val="0004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Silvia Bellabarba</cp:lastModifiedBy>
  <cp:revision>31</cp:revision>
  <cp:lastPrinted>2022-08-22T09:03:00Z</cp:lastPrinted>
  <dcterms:created xsi:type="dcterms:W3CDTF">2023-11-21T08:55:00Z</dcterms:created>
  <dcterms:modified xsi:type="dcterms:W3CDTF">2025-10-09T10:28:00Z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